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EAAF" w14:textId="77777777" w:rsidR="00E900A5" w:rsidRPr="00E900A5" w:rsidRDefault="00E900A5" w:rsidP="00E900A5">
      <w:pPr>
        <w:pStyle w:val="NormalWeb"/>
        <w:shd w:val="clear" w:color="auto" w:fill="FFFFFF"/>
        <w:spacing w:before="0" w:beforeAutospacing="0" w:after="0"/>
        <w:rPr>
          <w:rFonts w:ascii="Segoe UI" w:hAnsi="Segoe UI" w:cs="Segoe UI"/>
          <w:color w:val="212529"/>
          <w:sz w:val="40"/>
          <w:szCs w:val="40"/>
        </w:rPr>
      </w:pPr>
      <w:r w:rsidRPr="00E900A5">
        <w:rPr>
          <w:rStyle w:val="Gl"/>
          <w:rFonts w:ascii="Segoe UI" w:hAnsi="Segoe UI" w:cs="Segoe UI"/>
          <w:color w:val="212529"/>
          <w:sz w:val="40"/>
          <w:szCs w:val="40"/>
        </w:rPr>
        <w:t>KATILIM KOŞULLARI</w:t>
      </w:r>
    </w:p>
    <w:p w14:paraId="3210FEB6" w14:textId="77777777" w:rsidR="00E900A5" w:rsidRDefault="00E900A5" w:rsidP="00E900A5">
      <w:pPr>
        <w:pStyle w:val="NormalWeb"/>
        <w:shd w:val="clear" w:color="auto" w:fill="FFFFFF"/>
        <w:spacing w:before="0" w:beforeAutospacing="0" w:after="0"/>
        <w:rPr>
          <w:rFonts w:ascii="Segoe UI" w:hAnsi="Segoe UI" w:cs="Segoe UI"/>
          <w:color w:val="212529"/>
        </w:rPr>
      </w:pPr>
      <w:r>
        <w:rPr>
          <w:rStyle w:val="Gl"/>
          <w:rFonts w:ascii="Segoe UI" w:hAnsi="Segoe UI" w:cs="Segoe UI"/>
          <w:color w:val="212529"/>
        </w:rPr>
        <w:t>Kimler katılabilir?</w:t>
      </w:r>
    </w:p>
    <w:p w14:paraId="51085C5D" w14:textId="77777777" w:rsidR="00E900A5" w:rsidRDefault="00E900A5" w:rsidP="00E900A5">
      <w:pPr>
        <w:pStyle w:val="NormalWeb"/>
        <w:shd w:val="clear" w:color="auto" w:fill="FFFFFF"/>
        <w:spacing w:before="0" w:beforeAutospacing="0"/>
        <w:rPr>
          <w:rFonts w:ascii="Segoe UI" w:hAnsi="Segoe UI" w:cs="Segoe UI"/>
          <w:color w:val="212529"/>
        </w:rPr>
      </w:pPr>
      <w:proofErr w:type="spellStart"/>
      <w:r>
        <w:rPr>
          <w:rFonts w:ascii="Segoe UI" w:hAnsi="Segoe UI" w:cs="Segoe UI"/>
          <w:color w:val="212529"/>
        </w:rPr>
        <w:t>MediaCat</w:t>
      </w:r>
      <w:proofErr w:type="spellEnd"/>
      <w:r>
        <w:rPr>
          <w:rFonts w:ascii="Segoe UI" w:hAnsi="Segoe UI" w:cs="Segoe UI"/>
          <w:color w:val="212529"/>
        </w:rPr>
        <w:t xml:space="preserve"> </w:t>
      </w:r>
      <w:proofErr w:type="spellStart"/>
      <w:r>
        <w:rPr>
          <w:rFonts w:ascii="Segoe UI" w:hAnsi="Segoe UI" w:cs="Segoe UI"/>
          <w:color w:val="212529"/>
        </w:rPr>
        <w:t>ShortCase</w:t>
      </w:r>
      <w:proofErr w:type="spellEnd"/>
      <w:r>
        <w:rPr>
          <w:rFonts w:ascii="Segoe UI" w:hAnsi="Segoe UI" w:cs="Segoe UI"/>
          <w:color w:val="212529"/>
        </w:rPr>
        <w:t xml:space="preserve"> Ödülleri; film, yaratıcı içerik üretimi ve ticari marka iletişimi dünyasında faaliyet gösteren ya da göstermek isteyen 30 yaş altı herkese açıktır.</w:t>
      </w:r>
    </w:p>
    <w:p w14:paraId="48CC4A3B" w14:textId="77777777" w:rsidR="00E900A5" w:rsidRDefault="00E900A5" w:rsidP="00E900A5">
      <w:pPr>
        <w:pStyle w:val="NormalWeb"/>
        <w:shd w:val="clear" w:color="auto" w:fill="FFFFFF"/>
        <w:spacing w:before="0" w:beforeAutospacing="0" w:after="0"/>
        <w:rPr>
          <w:rFonts w:ascii="Segoe UI" w:hAnsi="Segoe UI" w:cs="Segoe UI"/>
          <w:color w:val="212529"/>
        </w:rPr>
      </w:pPr>
      <w:r>
        <w:rPr>
          <w:rStyle w:val="Gl"/>
          <w:rFonts w:ascii="Segoe UI" w:hAnsi="Segoe UI" w:cs="Segoe UI"/>
          <w:color w:val="212529"/>
        </w:rPr>
        <w:t>Özgünlük</w:t>
      </w:r>
    </w:p>
    <w:p w14:paraId="6048893B" w14:textId="77777777" w:rsidR="00E900A5" w:rsidRDefault="00E900A5" w:rsidP="00E900A5">
      <w:pPr>
        <w:pStyle w:val="NormalWeb"/>
        <w:shd w:val="clear" w:color="auto" w:fill="FFFFFF"/>
        <w:spacing w:before="0" w:beforeAutospacing="0"/>
        <w:rPr>
          <w:rFonts w:ascii="Segoe UI" w:hAnsi="Segoe UI" w:cs="Segoe UI"/>
          <w:color w:val="212529"/>
        </w:rPr>
      </w:pPr>
      <w:proofErr w:type="spellStart"/>
      <w:r>
        <w:rPr>
          <w:rFonts w:ascii="Segoe UI" w:hAnsi="Segoe UI" w:cs="Segoe UI"/>
          <w:color w:val="212529"/>
        </w:rPr>
        <w:t>MediaCat</w:t>
      </w:r>
      <w:proofErr w:type="spellEnd"/>
      <w:r>
        <w:rPr>
          <w:rFonts w:ascii="Segoe UI" w:hAnsi="Segoe UI" w:cs="Segoe UI"/>
          <w:color w:val="212529"/>
        </w:rPr>
        <w:t xml:space="preserve"> </w:t>
      </w:r>
      <w:proofErr w:type="spellStart"/>
      <w:r>
        <w:rPr>
          <w:rFonts w:ascii="Segoe UI" w:hAnsi="Segoe UI" w:cs="Segoe UI"/>
          <w:color w:val="212529"/>
        </w:rPr>
        <w:t>ShortCase’e</w:t>
      </w:r>
      <w:proofErr w:type="spellEnd"/>
      <w:r>
        <w:rPr>
          <w:rFonts w:ascii="Segoe UI" w:hAnsi="Segoe UI" w:cs="Segoe UI"/>
          <w:color w:val="212529"/>
        </w:rPr>
        <w:t xml:space="preserve"> yapılan film başvurularının daha önce hiçbir yerde yayınlanmamış olması gerekmektedir.</w:t>
      </w:r>
    </w:p>
    <w:p w14:paraId="59C5876E" w14:textId="77777777" w:rsidR="00E900A5" w:rsidRDefault="00E900A5" w:rsidP="00E900A5">
      <w:pPr>
        <w:pStyle w:val="NormalWeb"/>
        <w:shd w:val="clear" w:color="auto" w:fill="FFFFFF"/>
        <w:spacing w:before="0" w:beforeAutospacing="0" w:after="0"/>
        <w:rPr>
          <w:rFonts w:ascii="Segoe UI" w:hAnsi="Segoe UI" w:cs="Segoe UI"/>
          <w:color w:val="212529"/>
        </w:rPr>
      </w:pPr>
      <w:r>
        <w:rPr>
          <w:rStyle w:val="Gl"/>
          <w:rFonts w:ascii="Segoe UI" w:hAnsi="Segoe UI" w:cs="Segoe UI"/>
          <w:color w:val="212529"/>
        </w:rPr>
        <w:t>Değerlendirme Metodolojisi</w:t>
      </w:r>
    </w:p>
    <w:p w14:paraId="09E96F7D"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Yarışmaya katılmış tüm işler jüri tarafından ön elemeye tabi tutulur. Jüri, yarışmaya katılmış tüm işleri dijital ortamda değerlendirerek belirlenen kriterlere göre puanlar. Bu kriterleri yerine getiren işlerle kısa liste oluşturulur. Daha sonra jüri üyeleri kısa listeye kalan işleri değerlendirmek adına toplanır.</w:t>
      </w:r>
    </w:p>
    <w:p w14:paraId="5B66D0CC"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Jüri toplantısında projeler iki (2) aşamalı oylama sistemi ile değerlendirecektir:</w:t>
      </w:r>
    </w:p>
    <w:p w14:paraId="1264F967"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Aşama 1: Jüri yarışmaya katılmış ve kısa listeye kalan işlere her kritere göre on (10) üzerinden puan verecektir. Bu puanların her kritere göre ağırlığı alınacaktır. Her kriterin ağırlıklı puanları toplamı 6,0’ın üzerinde olan çalışmalar finalist olacaktır.</w:t>
      </w:r>
    </w:p>
    <w:p w14:paraId="46C0AF59"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Aşama 2: Finalistler jüri tarafından tekrar değerlendirilerek en yüksek puan alan proje, birincilik ödülüne hak kazanacaktır. Bu aşamalarda da elektronik oylama yapılacaktır.</w:t>
      </w:r>
    </w:p>
    <w:p w14:paraId="6913B562" w14:textId="77777777" w:rsidR="00E900A5" w:rsidRDefault="00E900A5" w:rsidP="00E900A5">
      <w:pPr>
        <w:pStyle w:val="NormalWeb"/>
        <w:shd w:val="clear" w:color="auto" w:fill="FFFFFF"/>
        <w:spacing w:before="0" w:beforeAutospacing="0" w:after="0"/>
        <w:rPr>
          <w:rFonts w:ascii="Segoe UI" w:hAnsi="Segoe UI" w:cs="Segoe UI"/>
          <w:color w:val="212529"/>
        </w:rPr>
      </w:pPr>
      <w:r>
        <w:rPr>
          <w:rStyle w:val="Gl"/>
          <w:rFonts w:ascii="Segoe UI" w:hAnsi="Segoe UI" w:cs="Segoe UI"/>
          <w:color w:val="212529"/>
        </w:rPr>
        <w:t>Değerlendirme Kriterleri</w:t>
      </w:r>
    </w:p>
    <w:p w14:paraId="34225874"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Strateji %30 (Yaratıcı fikrin ardındaki </w:t>
      </w:r>
      <w:proofErr w:type="spellStart"/>
      <w:r>
        <w:rPr>
          <w:rFonts w:ascii="Segoe UI" w:hAnsi="Segoe UI" w:cs="Segoe UI"/>
          <w:color w:val="212529"/>
        </w:rPr>
        <w:t>içgörünün</w:t>
      </w:r>
      <w:proofErr w:type="spellEnd"/>
      <w:r>
        <w:rPr>
          <w:rFonts w:ascii="Segoe UI" w:hAnsi="Segoe UI" w:cs="Segoe UI"/>
          <w:color w:val="212529"/>
        </w:rPr>
        <w:t xml:space="preserve"> ve bu çerçevede geliştirilen stratejinin gücü.)</w:t>
      </w:r>
    </w:p>
    <w:p w14:paraId="24A82A8A"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Yaratıcılık %40 (Belirlenen strateji çerçevesinde geliştirilen çalışmanın yaratıcılığı ve özgünlüğü.)</w:t>
      </w:r>
    </w:p>
    <w:p w14:paraId="6274C626"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Uygulama %30 (Yapılan çalışmanın uygulama ve prodüksiyon kalitesi.)</w:t>
      </w:r>
    </w:p>
    <w:p w14:paraId="34E28DBA" w14:textId="77777777" w:rsidR="00E900A5" w:rsidRDefault="00E900A5" w:rsidP="00E900A5">
      <w:pPr>
        <w:pStyle w:val="NormalWeb"/>
        <w:shd w:val="clear" w:color="auto" w:fill="FFFFFF"/>
        <w:spacing w:before="0" w:beforeAutospacing="0" w:after="0"/>
        <w:rPr>
          <w:rFonts w:ascii="Segoe UI" w:hAnsi="Segoe UI" w:cs="Segoe UI"/>
          <w:color w:val="212529"/>
        </w:rPr>
      </w:pPr>
      <w:r>
        <w:rPr>
          <w:rStyle w:val="Gl"/>
          <w:rFonts w:ascii="Segoe UI" w:hAnsi="Segoe UI" w:cs="Segoe UI"/>
          <w:color w:val="212529"/>
        </w:rPr>
        <w:t>Görsel Malzeme</w:t>
      </w:r>
    </w:p>
    <w:p w14:paraId="7263DDF3"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Gönderilecek videolar başta olmak üzere tüm katılım materyalleri jüri değerlendirme toplantılarında, ödül töreninde ve yarışma sonrası </w:t>
      </w:r>
      <w:proofErr w:type="spellStart"/>
      <w:r>
        <w:rPr>
          <w:rFonts w:ascii="Segoe UI" w:hAnsi="Segoe UI" w:cs="Segoe UI"/>
          <w:color w:val="212529"/>
        </w:rPr>
        <w:t>MediaCat’in</w:t>
      </w:r>
      <w:proofErr w:type="spellEnd"/>
      <w:r>
        <w:rPr>
          <w:rFonts w:ascii="Segoe UI" w:hAnsi="Segoe UI" w:cs="Segoe UI"/>
          <w:color w:val="212529"/>
        </w:rPr>
        <w:t xml:space="preserve"> dijital kanallarında ve sosyal medya mecralarında kullanılacaktır.</w:t>
      </w:r>
    </w:p>
    <w:p w14:paraId="7C46BB1E"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Markalı içerik videolarının iki (2) dakika uzunluğunda olarak yüklenmesi gerekmektedir. Videolar jüri değerlendirme toplantılarında ve işin ödül kazanması durumunda yarışma sonrası etkinliklerde kullanılacaktır. Zaman sınırlamasına uyulması önemle rica olunur.</w:t>
      </w:r>
    </w:p>
    <w:p w14:paraId="40857A3D"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Markalı içerik videoları MP4 + H.264 olmalıdır. En çok 100 MB ve en çok 2 dakika uzunluğunda olmalıdır. Görüntü ve ses tek dosya halinde olmalıdır.</w:t>
      </w:r>
    </w:p>
    <w:p w14:paraId="5BAF583D"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Tanıtım ses dosyasının mp3 formatında olması gerekmektedir.</w:t>
      </w:r>
    </w:p>
    <w:p w14:paraId="70D91371"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DVD, Windows Media Video, </w:t>
      </w:r>
      <w:proofErr w:type="spellStart"/>
      <w:r>
        <w:rPr>
          <w:rFonts w:ascii="Segoe UI" w:hAnsi="Segoe UI" w:cs="Segoe UI"/>
          <w:color w:val="212529"/>
        </w:rPr>
        <w:t>QuickTime</w:t>
      </w:r>
      <w:proofErr w:type="spellEnd"/>
      <w:r>
        <w:rPr>
          <w:rFonts w:ascii="Segoe UI" w:hAnsi="Segoe UI" w:cs="Segoe UI"/>
          <w:color w:val="212529"/>
        </w:rPr>
        <w:t xml:space="preserve"> veya diğer formatlardaki film dosyaları kabul edilmemektedir.</w:t>
      </w:r>
    </w:p>
    <w:p w14:paraId="52CBDCD9"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Markalı içerik videolarını tanıtan; kısa filmin senaryosunu ve mesajını özetleyen, 200 kelimeyi aşmayan tanıtım metinlerinin eklenmesi gerekmektedir.</w:t>
      </w:r>
    </w:p>
    <w:p w14:paraId="71E441FA" w14:textId="77777777" w:rsidR="00E900A5" w:rsidRDefault="00E900A5" w:rsidP="00E900A5">
      <w:pPr>
        <w:pStyle w:val="NormalWeb"/>
        <w:shd w:val="clear" w:color="auto" w:fill="FFFFFF"/>
        <w:spacing w:before="0" w:beforeAutospacing="0"/>
        <w:rPr>
          <w:rFonts w:ascii="Segoe UI" w:hAnsi="Segoe UI" w:cs="Segoe UI"/>
          <w:color w:val="212529"/>
        </w:rPr>
      </w:pPr>
      <w:r>
        <w:rPr>
          <w:rFonts w:ascii="Segoe UI" w:hAnsi="Segoe UI" w:cs="Segoe UI"/>
          <w:color w:val="212529"/>
        </w:rPr>
        <w:t>Genç yaratıcılar tarafından hazırlanacak olan bu filmler bir marka, ürün ya da hizmet tanıtımı içermemeli; filmlerde herhangi bir marka adı ve logosu yer almamalıdır.</w:t>
      </w:r>
    </w:p>
    <w:p w14:paraId="5CC40928" w14:textId="3C7A7B4C" w:rsidR="00E900A5" w:rsidRDefault="00E900A5" w:rsidP="00E900A5">
      <w:pPr>
        <w:pStyle w:val="NormalWeb"/>
        <w:shd w:val="clear" w:color="auto" w:fill="FFFFFF"/>
        <w:spacing w:before="0" w:beforeAutospacing="0" w:after="0" w:afterAutospacing="0"/>
        <w:rPr>
          <w:rFonts w:ascii="Segoe UI" w:hAnsi="Segoe UI" w:cs="Segoe UI"/>
          <w:color w:val="212529"/>
        </w:rPr>
      </w:pPr>
      <w:r>
        <w:rPr>
          <w:rFonts w:ascii="Segoe UI" w:hAnsi="Segoe UI" w:cs="Segoe UI"/>
          <w:color w:val="212529"/>
        </w:rPr>
        <w:t xml:space="preserve">Yarışmaya gönderilen malzemeler iade edilmez. Kapital Medya Hizmetleri A.Ş. bu malzemeleri yarışma ile ilgili her türlü tanıtımda ve yayınlarında haber veya gelir getirici amaçlarla kullanabilir. Kazanan ilk 3’te yer alan filmler, Türkiye </w:t>
      </w:r>
      <w:proofErr w:type="spellStart"/>
      <w:r>
        <w:rPr>
          <w:rFonts w:ascii="Segoe UI" w:hAnsi="Segoe UI" w:cs="Segoe UI"/>
          <w:color w:val="212529"/>
        </w:rPr>
        <w:t>Obezite</w:t>
      </w:r>
      <w:proofErr w:type="spellEnd"/>
      <w:r>
        <w:rPr>
          <w:rFonts w:ascii="Segoe UI" w:hAnsi="Segoe UI" w:cs="Segoe UI"/>
          <w:color w:val="212529"/>
        </w:rPr>
        <w:t xml:space="preserve"> Araştırma Derneği ve </w:t>
      </w:r>
      <w:proofErr w:type="spellStart"/>
      <w:r>
        <w:rPr>
          <w:rFonts w:ascii="Segoe UI" w:hAnsi="Segoe UI" w:cs="Segoe UI"/>
          <w:color w:val="212529"/>
        </w:rPr>
        <w:t>Novo</w:t>
      </w:r>
      <w:proofErr w:type="spellEnd"/>
      <w:r>
        <w:rPr>
          <w:rFonts w:ascii="Segoe UI" w:hAnsi="Segoe UI" w:cs="Segoe UI"/>
          <w:color w:val="212529"/>
        </w:rPr>
        <w:t xml:space="preserve"> </w:t>
      </w:r>
      <w:proofErr w:type="spellStart"/>
      <w:r>
        <w:rPr>
          <w:rFonts w:ascii="Segoe UI" w:hAnsi="Segoe UI" w:cs="Segoe UI"/>
          <w:color w:val="212529"/>
        </w:rPr>
        <w:t>Nordisk</w:t>
      </w:r>
      <w:proofErr w:type="spellEnd"/>
      <w:r>
        <w:rPr>
          <w:rFonts w:ascii="Segoe UI" w:hAnsi="Segoe UI" w:cs="Segoe UI"/>
          <w:color w:val="212529"/>
        </w:rPr>
        <w:t xml:space="preserve"> tarafından, kampanyalarında kullanılma hakkına sahip olur.</w:t>
      </w:r>
      <w:r>
        <w:rPr>
          <w:rFonts w:ascii="Segoe UI" w:hAnsi="Segoe UI" w:cs="Segoe UI"/>
          <w:color w:val="212529"/>
        </w:rPr>
        <w:t xml:space="preserve"> </w:t>
      </w:r>
      <w:r>
        <w:rPr>
          <w:rFonts w:ascii="Segoe UI" w:hAnsi="Segoe UI" w:cs="Segoe UI"/>
          <w:color w:val="212529"/>
        </w:rPr>
        <w:t>Bu tür durumlarda yarışmaya katılımcı taraf telif talep edemez, yarışmaya katılırken bu kuralları kabul eder.</w:t>
      </w:r>
    </w:p>
    <w:p w14:paraId="6DE5DCDE" w14:textId="77777777" w:rsidR="00E900A5" w:rsidRDefault="00E900A5" w:rsidP="00E900A5">
      <w:pPr>
        <w:spacing w:line="240" w:lineRule="auto"/>
      </w:pPr>
    </w:p>
    <w:sectPr w:rsidR="00E90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A5"/>
    <w:rsid w:val="00E90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652E"/>
  <w15:chartTrackingRefBased/>
  <w15:docId w15:val="{F38A7E80-E32E-448A-A5C3-12C47001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00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0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2020-11-11T08:45:00Z</dcterms:created>
  <dcterms:modified xsi:type="dcterms:W3CDTF">2020-11-11T08:46:00Z</dcterms:modified>
</cp:coreProperties>
</file>